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42 vom 7. März 1991</w:t>
      </w:r>
    </w:p>
    <w:p>
      <w:r>
        <w:t>Bundesgericht (BGE), 1991-03-07, DE</w:t>
      </w:r>
    </w:p>
    <w:p>
      <w:r>
        <w:rPr>
          <w:b/>
        </w:rPr>
        <w:t xml:space="preserve">Quelle: </w:t>
      </w:r>
      <w:r>
        <w:t>https://mcp.opencaselaw.ch/entscheid/bge_117 IB 42</w:t>
      </w:r>
    </w:p>
    <w:p>
      <w:r>
        <w:t>FR: BGE 117 IB 42 du 7 mars 1991</w:t>
      </w:r>
    </w:p>
    <w:p>
      <w:r>
        <w:t>IT: BGE 117 IB 42 del 7 marzo 1991</w:t>
      </w:r>
    </w:p>
    <w:p>
      <w:pPr>
        <w:pStyle w:val="Heading2"/>
      </w:pPr>
      <w:r>
        <w:t>Regeste</w:t>
      </w:r>
    </w:p>
    <w:p>
      <w:r>
        <w:t>Regeste Art. 22 ff. RPG, Art. 2 lit. c NHG und Forstrecht; Subventionierung und technische Projektgenehmigung einer Forststrasse; Koordination der Rechtsanwendung. Koordination im Rahmen eines kantonalen Strassen-Plangenehmigungsverfahrens, welches das Baubewilligungsverfahren ersetzen soll (E. 2). Für Forststrassen muss eine Baubewilligung eingeholt werden. Zwischen den Fragen des Natur- und Heimatschutzes, der Raumplanung und des Forstrechts besteht in der Regel ein enger Sachzusammenhang (E. 3b). Auch bei einem Projekt, dessen Beurteilung in erster Instanz teilweise in die Kompetenz kantonaler oder kommunaler Behörden und im übrigen in die Zuständigkeit einer Bundesbehörde fällt, besteht die Pflicht zur materiell und verfahrensmässig frühzeitig koordinierten Rechtsanwendung. Folgen mangelnder Koordination (E. 4).</w:t>
      </w:r>
    </w:p>
    <w:p>
      <w:pPr>
        <w:pStyle w:val="Heading2"/>
      </w:pPr>
      <w:r>
        <w:t>Erwägungen</w:t>
      </w:r>
    </w:p>
    <w:p>
      <w:r>
        <w:rPr>
          <w:b/>
        </w:rPr>
        <w:t>E. 1</w:t>
      </w:r>
    </w:p>
    <w:p>
      <w:r>
        <w:t>(Zur Zulässigkeit der Verwaltungsgerichtsbeschwerde BGE 116 Ib 311 E. 1).</w:t>
      </w:r>
    </w:p>
    <w:p>
      <w:r>
        <w:rPr>
          <w:b/>
        </w:rPr>
        <w:t>E. 2</w:t>
      </w:r>
    </w:p>
    <w:p>
      <w:r>
        <w:t>a) Zum Antrag der SL, der Kanton Wallis sei anzuhalten, ein ordentliches Baubewilligungsverfahren für das umstrittene Vorhaben durchzuführen, hat der Staatsrat in seiner ersten Vernehmlassung vom 23. Dezember 1988 erklärt, die Vorschriften über das kantonale Baubewilligungsverfahren würden zur Zeit revidiert. Bei dieser Gelegenheit werde auch die öffentliche Auflage der forstlichen Projekte sowie die Koordination der BGE 117 Ib 42 S. 46 baurechtlichen Bewilligung und der subventionsrechtlichen Genehmigungen überprüft. Im vorliegenden Fall sei die Bewilligung jedoch gemäss dem bisherigen Verfahren bereits erteilt worden, wobei das Subventionsverfahren gleichzeitig als Baubewilligungsverfahren gelte. Am 31. Januar 1991 teilte das Baudepartement des Kantons Wallis dem Bundesgericht mit, in Ausführung der bundesrechtlich vorgeschriebenen Koordinationspflicht sei die Rechtsabteilung des Baudepartements mit der Instruktion von Plangenehmigungsverfahren für den Bau, die Koordination und die Instandstellung öffentlicher Verkehrswege betraut worden. Die Plangenehmigungsverfahren für kantonale und kommunale Strassenbauvorhaben (Kantonsstrassen, kommunale Erschliessungsstrassen, Forst- und Meliorationsstrassen mit Einschluss der Waldwege) richteten sich nach den Vorschriften des kantonalen Strassengesetzes vom 3. September 1965 (Art. 38 ff.). Dieses Strassen-Plangenehmigungsverfahren ersetze das ordentliche Baubewilligungsverfahren. Gestützt auf diese Verfahrensordnung sei das Waldstrassenprojekt "Wichje-Ried" im kantonalen Amtsblatt vom 3. März 1989 zur öffentlichen Vernehmlassung ausgeschrieben worden. Das Baudepartement habe anschliessend unter ausdrücklichem Hinweis auf die Koordinationspflicht bei den verschiedenen kantonalen Aufsichts- und Entscheidungsorganen (Dienststellen für Raumplanung und für Umweltschutz, kantonale Baukommission sowie Dienststelle für Wald und Landschaft) das Vernehmlassungsverfahren eingeleitet. Aufgrund der eingegangenen Vormeinungen erweise sich die Durchführung eines Augenscheins mit anschliessender Einigungsverhandlung nach Massgabe von Art. 17 ff. des kantonalen Gesetzes über das Verwaltungsverfahren und die Verwaltungsrechtspflege vom 6. Oktober 1976 (VVRG) als unumgänglich. Die Ortsbesichtigung könne indessen erst nach der Schneeschmelze, also im Frühjahr 1991, stattfinden. Eine allfällige Plangenehmigungsverfügung könne dann Gegenstand einer Beschwerde an den Staatsrat und danach an das Verwaltungsgericht bilden. b) Aus diesem Schreiben des Baudepartements vom 31. Januar 1991 ergibt sich klar, dass die in der Vernehmlassung,vom 23. Dezember 1988 geäusserte Rechtsauffassung, wonach das kantonale Subventionsverfahren als Baubewilligungsverfahren gelte, aus der Sicht der kantonalen Behörden heute überholt ist. Der Antrag der Beschwerdeführerin, der Kanton Wallis sei anzuhalten, BGE 117 Ib 42 S. 47 ein ordentliches Baubewilligungsverfahren für das umstrittene Vorhaben durchzuführen, wird durch das vom Baudepartement eingeleitete Plangenehmigungsverfahren erfüllt, da dieses neue Verfahren das kantonale Baubewilligungsverfahren ersetzen soll. Dieses Verfahren kommt somit einer Wiedererwägung der Verfügung des Staatsrats vom 4. Mai 1988 gleich, insoweit er diese zugleich als eine kantonale Baubewilligung für die umstrittene Strasse betrachtete. Das Begehren der SL auf Durchführung eines kantonalen Baubewilligungsverfahrens wird bei dieser Sachlage gegenstandslos.</w:t>
      </w:r>
    </w:p>
    <w:p>
      <w:r>
        <w:rPr>
          <w:b/>
        </w:rPr>
        <w:t>E. 3</w:t>
      </w:r>
    </w:p>
    <w:p>
      <w:r>
        <w:t>a) Die Beschwerdeführerin hält den heutigen Zustand der in Frage stehenden Waldung in Zermatt namentlich unter Berücksichtigung ihrer landschaftsästhetischen, ideellen, ökologischen und naturschützerischen Qualität für wesentlich wertvoller als einen konventionell gepflegten Wald. Die konventionelle Waldbewirtschaftung würde die aus ihrer Sicht unerwünschte Forststrasse erfordern und gleichzeitig die heutigen Werte des Waldes und des Landschaftsbilds beeinträchtigen. Die Beschwerdeführerin bestreitet ferner die von der Burgergemeinde und von Vertretern des Forstdienstes geltend gemachte These, die Schutzwirkung des Waldes werde durch eine konventionelle Waldpflege erhöht. Diese könne sich namentlich im Gebirgswald auch kontraproduktiv auswirken. Für den Fall, dass eine minimale Pflege des Waldes nötig und erwünscht sei, sei es jedenfalls nicht erforderlich, das geschlagene Holz auf einer lastwagenbefahrbaren Strasse abzutransportieren. Schliesslich wird die Befürchtung vorgetragen, die geplante Strasse könne vor allem auch als Skipiste dienen und unerwünschte Auswirkungen auf Fauna und Flora mit sich bringen. Die Beschwerdeführerin beantragt dem Bundesgericht, zu den von ihr aufgeworfenen Fragen eine Expertise von unabhängigen Fachleuten einzuholen. b) Nach der Praxis des Bundesgerichts kann die Subventionierung einer Forststrasse im Rahmen des Legalitätsprinzips nicht vom Belieben der Subventionsbehörde abhängen. Diese darf nur einem Projekt zustimmen, das allen einschlägigen bundesrechtlichen Anforderungen genügt ( BGE 116 Ib 313 E. 2a). Die zu erfüllenden bundesrechtlichen Anforderungen ergeben sich zunächst direkt aus dem Forstrecht. Danach kann der Bund in Schutzwaldungen die Anlage von Abfuhrwegen unterstützen ( Art. 25 Abs. 1, Art. 42 Abs. 1 lit. b und Art. 42bis lit. a Ziff. 6 FPolG , Art. 21 FPolV ). BGE 117 Ib 42 S. 48 Neben dem Forstrecht und dem Natur- und Heimatschutzrecht (vgl. BGE 116 Ib 314 E. 3) betrifft das vorliegende Projekt aber insbesondere auch Fragen des Raumplanungsrechts. Eine Strasse bedarf von Bundesrechts wegen einer Baubewilligung im Sinne der Art. 22 ff. RPG , sofern sie nicht in einem speziellen Nutzungsplan vorgesehen ist. Entspricht eine - wie im vorliegenden Fall - ausserhalb der Bauzone gelegene Strasse nicht dem Zweck der Zone, in welcher sie geplant ist, muss bei Fehlen eines speziellen Nutzungsplans eine Ausnahmebewilligung im Sinne von Art. 24 RPG eingeholt werden ( BGE 114 Ib 268 ff.; BGE 112 Ib 164 ff., 409; nicht publ. Urteile vom 17. Februar 1987 i.S. E. L. c. Gemeinde Obersiggenthal und vom 29. Juni 1987 i.S. W. A. c. Einwohnergemeinde Giswil). Eine Strasse, die durch den Wald führt und nicht in einem speziellen Nutzungsplan enthalten ist, bedarf, soweit sie forstlichen Zwecken dient, einer Baubewilligung im Sinne von Art. 22 RPG . Soweit sie nicht forstlichen Zwecken dient, ist eine Ausnahmebewilligung im Sinne von Art. 24 RPG sowie eine Rodungsbewilligung nach Art. 31 FPolG i.V.m. Art. 26 FPolV nötig ( BGE 112 Ib 256 ff. i.V.m. BGE 112 Ib 164 ff., 409 ff.). Das Raumplanungsgesetz betrifft die umstrittene Beitragszusicherung zudem insofern, als es vorschreibt, der Bund habe die Leistung von Beiträgen an raumwirksame Massnahmen nach anderen Bundesgesetzen davon abhängig zu machen, dass diese den genehmigten Richtplänen entsprechen ( Art. 30 RPG ).</w:t>
      </w:r>
    </w:p>
    <w:p>
      <w:r>
        <w:rPr>
          <w:b/>
        </w:rPr>
        <w:t>E. 4</w:t>
      </w:r>
    </w:p>
    <w:p>
      <w:r>
        <w:t>a) Zur rechtlichen Beurteilung des umstrittenen Forststrassenprojekts sind somit gleichzeitig mehrere Gesetzgebungen anwendbar. Wie das Bundesgericht in letzter Zeit mehrfach festgehalten hat, verlangt das Bundesrecht in solchen Fällen, dass die verschiedenen, in einem engen Sachzusammenhang zueinander stehenden Vorschriften in einem Leitverfahren materiell und verfahrensmässig frühzeitig koordiniert angewendet werden ( BGE 116 Ib 50 ff., 313 E. 2c, 327 ff. E. 4, je mit weiteren Hinweisen). Das Baudepartement des Kantons Wallis ist gemäss seinem vorne in E. 2a wiedergegebenen Schreiben vom 31. Januar 1991 bestrebt, der bundesrechtlichen Koordinationspflicht nachzukommen, indem es ein Plangenehmigungsverfahren über das hier umstrittene Forststrassenprojekt unter Beizug sämtlicher zuständiger Behörden durchführt. Dabei sind nach der bundesgerichtlichen Rechtsprechung auch die für eine allfällige Subventionierung zuständigen Behörden von Bund und Kanton in das Leit- oder gegebenenfalls in das massgebliche Verfahren nach Art. 5 UVPV BGE 117 Ib 42 S. 49 (SR 814.011) miteinzubeziehen. Nach der erwähnten Rechtsprechung geht es nämlich nicht an, die Frage der Subventionierung ohne Berücksichtigung der übrigen massgebenden Gesetzgebung zu beurteilen. Das Bundesgericht hat im Grundsatzurteil BGE 116 Ib 50 ff. zur Frage der Koordination der Rechtsanwendung erwogen, dass die materielle Koordination am besten erreicht wird, wenn dafür eine einzige erste Instanz zuständig ist. Sind jedoch zur Beurteilung einzelner der Koordination bedürftiger Rechtsfragen verschiedene erstinstanzliche Behörden zuständig, so müssen diese die Rechtsanwendung in einer Weise abstimmen, dass qualitativ ein gleichwertiges Koordinationsergebnis erzielt wird. In dieser Hinsicht ergibt sich aus den Akten des hier umstrittenen Bauvorhabens, dass noch gar keine umfassende Interessenabwägung und Abstimmung der Entscheide erfolgen konnte, weshalb zur Zeit auch nicht von einem den Anforderungen der bundesrechtlichen Koordinationspflicht genügenden Entscheid über das umstrittene Forststrassenprojekt "Wichje-Ried" gesprochen werden kann. Auch in Fällen wie dem vorliegenden, in welchem die zur Bewilligung eines Vorhabens zu prüfenden Rechtsfragen mit engem Sachzusammenhang erstinstanzlich teils durch Bundesbehörden (Bundessubvention und technische Genehmigung) und teils durch kantonale oder kommunale Behörden beurteilt werden, muss die materielle Koordination zwischen den erstinstanzlichen Behörden sichergestellt werden ( BGE 116 Ib 313 E. 2c). Eine verfahrensrechtlich und zeitlich verbundene Eröffnung der Verfügungen mit anschliessendem einheitlichem Rechtsmittelverfahren ist hier bei der heutigen Rechtslage indessen nicht möglich (vgl. BGE 116 Ib 58 ). Im erwähnten Urteil hat sich das Bundesgericht mit der Koordination von eng zusammenhängenden Verfahren befasst, welche in erster Instanz teilweise in die Kompetenz kantonaler oder kommunaler Behörden und im übrigen in die Zuständigkeit von Bundesbehörden fallen, und dabei Möglichkeiten des Vorgehens aufgezeigt ( BGE 116 Ib 58 f.). b) Im vorliegenden Fall ist in bezug auf die Koordination der Subventionsverfügungen des EDI mit den übrigen, einen engen Sachzusammenhang aufweisenden Bewilligungen eine analoge Problematik gegeben. Bei deren Lösung ist darauf zu achten, dass sämtliche vom engen Sachzusammenhang betroffene Fragen, d.h. im vorliegenden Fall insbesondere die Fragen der Raumplanung, des Natur- und Heimatschutzes sowie des Forstrechts (inkl. Subventionierung) materiell aufeinander abgestimmt und zeitlich BGE 117 Ib 42 S. 50 koordiniert beurteilt werden. In diesem Sinne hat das Bundesgericht bereits in vergleichbaren Fällen entschieden ( BGE 116 Ib 313 E. 2c). Im Unterschied zum erwähnten Urteil mangelt es hier bereits an der gehörigen Berücksichtigung der raumplanerischen Fragen beim Entscheid über die Bundessubvention. Es ergibt sich somit, dass die angefochtene Verfügung des EDI in Verletzung der bundesrechtlichen Koordinationspflicht erlassen worden ist. Eine vom EDI als zweckmässig bezeichnete Sistierung des vorliegenden Verfahrens bis zum Vorliegen einer rechtskräftigen kantonalen Plangenehmigungsverfügung ist bei dieser Sachlage nicht angebracht. Die Verwaltungsgerichtsbeschwerde muss vielmehr gutgeheissen und die Subventionsverfügung des EDI aufgehoben werden, damit eine materielle Koordination der Rechtsanwendung im Sinne der bundesgerichtlichen Rechtsprechung ermöglicht wird. Das Bundesgericht hat somit im vorliegenden Verfahren nicht zu prüfen, ob die geplante Forststrasse mit den übrigen Bestimmungen über den Natur- und Heimatschutz, die Raumplanung oder das Forstwesen übereinstimmt. Die Beurteilung dieser Fragen ist vorab Aufgabe der zuständigen kantonalen Behörden sowie des EDI, das im Rahmen des koordinierten Plangenehmigungsverfahrens zur Beurteilung der Subventionsvoraussetzungen sowie allfälliger weiterer Probleme in den Entscheidungsprozess miteinbezogen werden muss. Die Verfahrensrechte der Beschwerdeführerin könne auch im Rahmen eines koordinierten Vorgehens der verschiedenen zuständigen Behörden gewahrt werden.</w:t>
      </w:r>
    </w:p>
    <w:p>
      <w:r>
        <w:rPr>
          <w:b/>
        </w:rPr>
        <w:t>E. 5</w:t>
      </w:r>
    </w:p>
    <w:p>
      <w:r>
        <w:t>Zusammenfassend ergibt sich somit, dass die Verwaltungsgerichtsbeschwerde gutzuheissen und der angefochtene Entscheid aufzuheben ist. Soweit die SL die Durchführung eines kantonalen Baubewilligungsverfahrens verlangt, ist die Beschwerde gegenstandslos geworden (s. vorne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